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20"/>
        <w:gridCol w:w="6706"/>
      </w:tblGrid>
      <w:tr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Judul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Analisis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faktor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mempengaruhi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psychological well-being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indonesia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Nama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Journals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community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Volume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dan Halaman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No.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Hal 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116-122)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Tahun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Penulis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Anak Agung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Istri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Via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Aristyawati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Ni Made Swasti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Wulanyani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Riviewer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Manda Prita Nadila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Tanggal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Agustus 2023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Tujuan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Tujuan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mengeksplorasi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psychological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</w:rPr>
              <w:t>well-being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memahami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faktor-faktor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berkontribusi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terhadap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kesejahteraan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psikologis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mengeksplorasi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manfaat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fandom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Subjek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Metode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Kajian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literatur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merupakan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sebuah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studi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dilakukan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menghimpun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data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sejumlah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buku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maupun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artikel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ilmiah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berhubungan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masalah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tujuan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Pencarian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data 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dilakukan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melalui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dua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buah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database online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akses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melalui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Google Scholar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Sciencedirect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Kelebihan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kekurangan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Kelebihan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Metode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digunakan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kajian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literatur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memungkinkan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mengumpulkan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data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sumber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relevan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topik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Hal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pemahaman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komprehensif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psychological well-being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juga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menyoroti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manfaat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seperti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perasaan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nyaman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ikatan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emosional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menyenangkan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penggunaan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idola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sumber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kekuatan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kemandirian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Hal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membantu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menghilangkan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stigma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negatif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terhadap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mengakui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kontribusi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positif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juga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mengidentifikasi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kebutuhan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lebih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lanjut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lebih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detail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beragam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mengenai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psychological well-being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Indonesia. Hal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menunjukkan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kesadaran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penulis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terhadap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keterbatasan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arahan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masa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depan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demikian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kontribusi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berharga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memahami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mengapresiasi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menggali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manfaat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bagian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fandom.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Kekurangan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id-ID" w:eastAsia="en-ID"/>
              </w:rPr>
              <w:t>Salah satu keterbatasan jurnal ini adalah hanya berfokus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id-ID" w:eastAsia="en-ID"/>
              </w:rPr>
              <w:t>pada kesejahteraan psikologis penggemar Kpop di Indonesia. Itu tidak memberikan analisis komp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val="id-ID" w:eastAsia="en-ID"/>
              </w:rPr>
              <w:t xml:space="preserve">ratif atau menyertakan sampel yang lebih luas dari negara atau wilayah lain. 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Sumber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Gogle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Scholar 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"http://journal.unigres.ac.id/index.php/JNC/article/view/2631"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4"/>
                <w:szCs w:val="24"/>
              </w:rPr>
              <w:t>http://journal.unigres.ac.id/index.php/JNC/article/view/2631</w:t>
            </w:r>
            <w:r>
              <w:rPr/>
              <w:fldChar w:fldCharType="end"/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Isi Review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psychological well-being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Indonesia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konsep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dinamis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bersifat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positif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menyebabkan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individu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mencapai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fungsi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optimal 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pergaulan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sosial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dirinya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konteks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keterikatan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lain 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salah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wadah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mendapatkan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emotional support,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karena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sama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memberikan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dukungan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tertentu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afirmasi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positif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Sebagian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memaknai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tempat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dimana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dapat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menemukan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identitas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serta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satu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keluarga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bisa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diajak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tumbuh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Bersama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biasanya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besar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melihat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idola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sebuah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role model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ara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popers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merasa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puas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penampilan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tubuh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milik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Hal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berarti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bahwa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menerima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apa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adanya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dimensi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pertama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psychological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well being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yaitu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self acceptance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terbukti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terpenuhi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keberadaannya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Kesimpulan</w:t>
            </w:r>
          </w:p>
        </w:tc>
        <w:tc>
          <w:tcPr>
            <w:tcW w:w="561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Kesimpulan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jurnal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bahwa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kesejahteraan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psikologis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tinggi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merasakan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perasaan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nyaman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ikatan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emosional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menyenangkan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 Faktor-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faktor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seperti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keterlibatan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minat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tinggi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hubungan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positif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orang lain,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tujuan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hidup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penerimaan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pertumbuhan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pribadi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otonomi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optimisme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berkontribusi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terhadap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kesejahteraan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psikologis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juga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menggunakan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idola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mereka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sumber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kekuatan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kemandirian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menunjukkan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manfaat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membentuk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identitas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memiliki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komunitas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mendukung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Namun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penelitian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lebih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lanjut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diperlukan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memperluas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pemahaman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psychological well-being pada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di Indonesia dan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memperhatikan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aspek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positif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menjadi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penggemar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Kpop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  <w:lang w:val="en-ID" w:eastAsia="en-ID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  <w:szCs w:val="20"/>
      <w:lang w:val="en-ID" w:eastAsia="en-ID"/>
    </w:rPr>
  </w:style>
  <w:style w:type="character" w:customStyle="1" w:styleId="style4098">
    <w:name w:val="y2iqfc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563</Words>
  <Pages>3</Pages>
  <Characters>3771</Characters>
  <Application>WPS Office</Application>
  <DocSecurity>0</DocSecurity>
  <Paragraphs>56</Paragraphs>
  <ScaleCrop>false</ScaleCrop>
  <LinksUpToDate>false</LinksUpToDate>
  <CharactersWithSpaces>4303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2023-08-20T07:51:00Z</dcterms:created>
  <dc:creator>User</dc:creator>
  <lastModifiedBy>SM-A336E</lastModifiedBy>
  <dcterms:modified xsi:type="dcterms:W3CDTF">2023-08-20T14:11:30Z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246582a94b4b45c5a61721f577a474ca</vt:lpwstr>
  </property>
</Properties>
</file>